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15140" w14:textId="77777777" w:rsidR="008015A4" w:rsidRPr="00DB0A78" w:rsidRDefault="00DB0A78">
      <w:pPr>
        <w:rPr>
          <w:rFonts w:ascii="Times New Roman" w:hAnsi="Times New Roman" w:cs="Times New Roman"/>
          <w:b/>
          <w:sz w:val="28"/>
          <w:szCs w:val="28"/>
        </w:rPr>
      </w:pPr>
      <w:r w:rsidRPr="00DB0A78">
        <w:rPr>
          <w:rFonts w:ascii="Times New Roman" w:hAnsi="Times New Roman" w:cs="Times New Roman"/>
          <w:b/>
          <w:sz w:val="28"/>
          <w:szCs w:val="28"/>
        </w:rPr>
        <w:t xml:space="preserve">Pourquoi le CAC, encore aujourd’hui ? </w:t>
      </w:r>
    </w:p>
    <w:p w14:paraId="6706BFBE" w14:textId="77777777" w:rsidR="00A21F95" w:rsidRDefault="00A21F95">
      <w:pPr>
        <w:rPr>
          <w:rFonts w:ascii="Times New Roman" w:hAnsi="Times New Roman" w:cs="Times New Roman"/>
        </w:rPr>
      </w:pPr>
    </w:p>
    <w:p w14:paraId="08F6BE68" w14:textId="77777777" w:rsidR="00A21F95" w:rsidRDefault="00A21F95">
      <w:pPr>
        <w:rPr>
          <w:rFonts w:ascii="Times New Roman" w:hAnsi="Times New Roman" w:cs="Times New Roman"/>
        </w:rPr>
      </w:pPr>
    </w:p>
    <w:p w14:paraId="7CF36236" w14:textId="77777777" w:rsidR="00095F97" w:rsidRPr="00DC4AB8" w:rsidRDefault="00095F97" w:rsidP="00A21F95">
      <w:pPr>
        <w:jc w:val="both"/>
        <w:rPr>
          <w:rFonts w:ascii="Times New Roman" w:hAnsi="Times New Roman" w:cs="Times New Roman"/>
          <w:b/>
        </w:rPr>
      </w:pPr>
      <w:r w:rsidRPr="00DC4AB8">
        <w:rPr>
          <w:rFonts w:ascii="Times New Roman" w:hAnsi="Times New Roman" w:cs="Times New Roman"/>
          <w:b/>
        </w:rPr>
        <w:t>Un monde multipolaire brusquement réveillé</w:t>
      </w:r>
    </w:p>
    <w:p w14:paraId="200BA7EE" w14:textId="77777777" w:rsidR="00095F97" w:rsidRDefault="00095F97" w:rsidP="00A21F95">
      <w:pPr>
        <w:jc w:val="both"/>
        <w:rPr>
          <w:rFonts w:ascii="Times New Roman" w:hAnsi="Times New Roman" w:cs="Times New Roman"/>
        </w:rPr>
      </w:pPr>
    </w:p>
    <w:p w14:paraId="7A36281B" w14:textId="77777777" w:rsidR="00A21F95" w:rsidRDefault="00A21F95" w:rsidP="00A21F95">
      <w:pPr>
        <w:jc w:val="both"/>
        <w:rPr>
          <w:rFonts w:ascii="Times New Roman" w:hAnsi="Times New Roman" w:cs="Times New Roman"/>
        </w:rPr>
      </w:pPr>
      <w:r>
        <w:rPr>
          <w:rFonts w:ascii="Times New Roman" w:hAnsi="Times New Roman" w:cs="Times New Roman"/>
        </w:rPr>
        <w:t xml:space="preserve">Le monde associatif est multiple, diversifié jusqu’à entretenir des contradictions et des divergences fortes. Quoi de commun entre une association </w:t>
      </w:r>
      <w:commentRangeStart w:id="0"/>
      <w:r>
        <w:rPr>
          <w:rFonts w:ascii="Times New Roman" w:hAnsi="Times New Roman" w:cs="Times New Roman"/>
        </w:rPr>
        <w:t xml:space="preserve">qui se limite à organiser </w:t>
      </w:r>
      <w:commentRangeEnd w:id="0"/>
      <w:r w:rsidR="006944C5">
        <w:rPr>
          <w:rStyle w:val="Marquedecommentaire"/>
        </w:rPr>
        <w:commentReference w:id="0"/>
      </w:r>
      <w:r>
        <w:rPr>
          <w:rFonts w:ascii="Times New Roman" w:hAnsi="Times New Roman" w:cs="Times New Roman"/>
        </w:rPr>
        <w:t>la pratique d’un sport ou d’un loisir, d’autres qui se veulent culturelles ou d’éducation populaire, d’autres encore qui s’organisent en groupement de réflexion et d’action dans un but</w:t>
      </w:r>
      <w:r w:rsidR="0082333C">
        <w:rPr>
          <w:rFonts w:ascii="Times New Roman" w:hAnsi="Times New Roman" w:cs="Times New Roman"/>
        </w:rPr>
        <w:t xml:space="preserve"> social, écologique</w:t>
      </w:r>
      <w:r>
        <w:rPr>
          <w:rFonts w:ascii="Times New Roman" w:hAnsi="Times New Roman" w:cs="Times New Roman"/>
        </w:rPr>
        <w:t xml:space="preserve"> ou partisan ? La liberté de s’organiser. La liberté de se rassembler, en vue de réaliser des activités de toute</w:t>
      </w:r>
      <w:r w:rsidR="0082333C">
        <w:rPr>
          <w:rFonts w:ascii="Times New Roman" w:hAnsi="Times New Roman" w:cs="Times New Roman"/>
        </w:rPr>
        <w:t>s</w:t>
      </w:r>
      <w:r>
        <w:rPr>
          <w:rFonts w:ascii="Times New Roman" w:hAnsi="Times New Roman" w:cs="Times New Roman"/>
        </w:rPr>
        <w:t xml:space="preserve"> sorte</w:t>
      </w:r>
      <w:r w:rsidR="0082333C">
        <w:rPr>
          <w:rFonts w:ascii="Times New Roman" w:hAnsi="Times New Roman" w:cs="Times New Roman"/>
        </w:rPr>
        <w:t>s</w:t>
      </w:r>
      <w:r>
        <w:rPr>
          <w:rFonts w:ascii="Times New Roman" w:hAnsi="Times New Roman" w:cs="Times New Roman"/>
        </w:rPr>
        <w:t xml:space="preserve"> (du sport à la production philosophique, en passant par la danse, le théâtre les sorties amicales, </w:t>
      </w:r>
      <w:r w:rsidR="0082333C">
        <w:rPr>
          <w:rFonts w:ascii="Times New Roman" w:hAnsi="Times New Roman" w:cs="Times New Roman"/>
        </w:rPr>
        <w:t xml:space="preserve">la solidarité, la santé, </w:t>
      </w:r>
      <w:r w:rsidR="00520625">
        <w:rPr>
          <w:rFonts w:ascii="Times New Roman" w:hAnsi="Times New Roman" w:cs="Times New Roman"/>
        </w:rPr>
        <w:t>etc.)</w:t>
      </w:r>
      <w:r w:rsidR="0082333C">
        <w:rPr>
          <w:rFonts w:ascii="Times New Roman" w:hAnsi="Times New Roman" w:cs="Times New Roman"/>
        </w:rPr>
        <w:t>,</w:t>
      </w:r>
      <w:r w:rsidR="00520625">
        <w:rPr>
          <w:rFonts w:ascii="Times New Roman" w:hAnsi="Times New Roman" w:cs="Times New Roman"/>
        </w:rPr>
        <w:t xml:space="preserve"> de </w:t>
      </w:r>
      <w:r>
        <w:rPr>
          <w:rFonts w:ascii="Times New Roman" w:hAnsi="Times New Roman" w:cs="Times New Roman"/>
        </w:rPr>
        <w:t xml:space="preserve">poursuivre un ou des buts communs mais </w:t>
      </w:r>
      <w:r w:rsidR="00E25EEF">
        <w:rPr>
          <w:rFonts w:ascii="Times New Roman" w:hAnsi="Times New Roman" w:cs="Times New Roman"/>
        </w:rPr>
        <w:t>aussi, et</w:t>
      </w:r>
      <w:r>
        <w:rPr>
          <w:rFonts w:ascii="Times New Roman" w:hAnsi="Times New Roman" w:cs="Times New Roman"/>
        </w:rPr>
        <w:t xml:space="preserve"> souvent, pour trouver ou retrouver des liens de connivence, des ambiances du plaisir d’être et de faire ensemble</w:t>
      </w:r>
      <w:r w:rsidR="00520625">
        <w:rPr>
          <w:rFonts w:ascii="Times New Roman" w:hAnsi="Times New Roman" w:cs="Times New Roman"/>
        </w:rPr>
        <w:t xml:space="preserve">. Cette liberté a été </w:t>
      </w:r>
      <w:r w:rsidR="0082333C">
        <w:rPr>
          <w:rFonts w:ascii="Times New Roman" w:hAnsi="Times New Roman" w:cs="Times New Roman"/>
        </w:rPr>
        <w:t xml:space="preserve">solidement </w:t>
      </w:r>
      <w:r w:rsidR="00520625">
        <w:rPr>
          <w:rFonts w:ascii="Times New Roman" w:hAnsi="Times New Roman" w:cs="Times New Roman"/>
        </w:rPr>
        <w:t>codifiée par la loi de 1901</w:t>
      </w:r>
      <w:r w:rsidR="0082333C">
        <w:rPr>
          <w:rFonts w:ascii="Times New Roman" w:hAnsi="Times New Roman" w:cs="Times New Roman"/>
        </w:rPr>
        <w:t>, qui</w:t>
      </w:r>
      <w:r w:rsidR="00520625">
        <w:rPr>
          <w:rFonts w:ascii="Times New Roman" w:hAnsi="Times New Roman" w:cs="Times New Roman"/>
        </w:rPr>
        <w:t xml:space="preserve"> ouvre des espaces permettant à des personnes de mettre en commun moyens, énergie, pensées, hors de toute tutelle. Hors de l’emprise de la loi du profit. La non-lucrativité est un mot clé pour dire cela en une formule ramassée. Aucune contrainte, hors le respect des personnes et de l’ordre public.</w:t>
      </w:r>
    </w:p>
    <w:p w14:paraId="0AAD7B10" w14:textId="77777777" w:rsidR="00520625" w:rsidRDefault="00520625" w:rsidP="00A21F95">
      <w:pPr>
        <w:jc w:val="both"/>
        <w:rPr>
          <w:rFonts w:ascii="Times New Roman" w:hAnsi="Times New Roman" w:cs="Times New Roman"/>
        </w:rPr>
      </w:pPr>
    </w:p>
    <w:p w14:paraId="3C56D3FA" w14:textId="024439A5" w:rsidR="00520625" w:rsidRDefault="00520625" w:rsidP="00A21F95">
      <w:pPr>
        <w:jc w:val="both"/>
        <w:rPr>
          <w:rFonts w:ascii="Times New Roman" w:hAnsi="Times New Roman" w:cs="Times New Roman"/>
        </w:rPr>
      </w:pPr>
      <w:r>
        <w:rPr>
          <w:rFonts w:ascii="Times New Roman" w:hAnsi="Times New Roman" w:cs="Times New Roman"/>
        </w:rPr>
        <w:t xml:space="preserve">Le </w:t>
      </w:r>
      <w:r w:rsidR="00C40196" w:rsidRPr="00C40196">
        <w:rPr>
          <w:rFonts w:ascii="Times New Roman" w:hAnsi="Times New Roman" w:cs="Times New Roman"/>
        </w:rPr>
        <w:t>18 janvier</w:t>
      </w:r>
      <w:bookmarkStart w:id="1" w:name="_GoBack"/>
      <w:bookmarkEnd w:id="1"/>
      <w:r w:rsidR="00031B52" w:rsidRPr="00C40196">
        <w:rPr>
          <w:rFonts w:ascii="Times New Roman" w:hAnsi="Times New Roman" w:cs="Times New Roman"/>
        </w:rPr>
        <w:t xml:space="preserve"> 2010</w:t>
      </w:r>
      <w:r w:rsidRPr="00C40196">
        <w:rPr>
          <w:rFonts w:ascii="Times New Roman" w:hAnsi="Times New Roman" w:cs="Times New Roman"/>
        </w:rPr>
        <w:t>, une</w:t>
      </w:r>
      <w:r>
        <w:rPr>
          <w:rFonts w:ascii="Times New Roman" w:hAnsi="Times New Roman" w:cs="Times New Roman"/>
        </w:rPr>
        <w:t xml:space="preserve"> circulaire du premier ministre (Fillon) met le feu aux poudres</w:t>
      </w:r>
      <w:r w:rsidR="00031B52">
        <w:rPr>
          <w:rFonts w:ascii="Times New Roman" w:hAnsi="Times New Roman" w:cs="Times New Roman"/>
        </w:rPr>
        <w:t>, inqui</w:t>
      </w:r>
      <w:r w:rsidR="0082333C">
        <w:rPr>
          <w:rFonts w:ascii="Times New Roman" w:hAnsi="Times New Roman" w:cs="Times New Roman"/>
        </w:rPr>
        <w:t>ète</w:t>
      </w:r>
      <w:r w:rsidR="00031B52">
        <w:rPr>
          <w:rFonts w:ascii="Times New Roman" w:hAnsi="Times New Roman" w:cs="Times New Roman"/>
        </w:rPr>
        <w:t xml:space="preserve"> et bouscule</w:t>
      </w:r>
      <w:r w:rsidR="0082333C">
        <w:rPr>
          <w:rFonts w:ascii="Times New Roman" w:hAnsi="Times New Roman" w:cs="Times New Roman"/>
        </w:rPr>
        <w:t xml:space="preserve"> </w:t>
      </w:r>
      <w:r w:rsidR="00031B52">
        <w:rPr>
          <w:rFonts w:ascii="Times New Roman" w:hAnsi="Times New Roman" w:cs="Times New Roman"/>
        </w:rPr>
        <w:t>un monde associatif</w:t>
      </w:r>
      <w:r w:rsidR="00920B72">
        <w:rPr>
          <w:rFonts w:ascii="Times New Roman" w:hAnsi="Times New Roman" w:cs="Times New Roman"/>
        </w:rPr>
        <w:t xml:space="preserve"> très diversifié,</w:t>
      </w:r>
      <w:r w:rsidR="00031B52">
        <w:rPr>
          <w:rFonts w:ascii="Times New Roman" w:hAnsi="Times New Roman" w:cs="Times New Roman"/>
        </w:rPr>
        <w:t xml:space="preserve"> plus habitué à défendre son pré-carré qu’enclin à la contestation concertée</w:t>
      </w:r>
      <w:r>
        <w:rPr>
          <w:rFonts w:ascii="Times New Roman" w:hAnsi="Times New Roman" w:cs="Times New Roman"/>
        </w:rPr>
        <w:t xml:space="preserve">. Ce n’était pas la première fois que les pouvoirs en place </w:t>
      </w:r>
      <w:r w:rsidR="00E25EEF">
        <w:rPr>
          <w:rFonts w:ascii="Times New Roman" w:hAnsi="Times New Roman" w:cs="Times New Roman"/>
        </w:rPr>
        <w:t>cherchaient</w:t>
      </w:r>
      <w:r>
        <w:rPr>
          <w:rFonts w:ascii="Times New Roman" w:hAnsi="Times New Roman" w:cs="Times New Roman"/>
        </w:rPr>
        <w:t xml:space="preserve"> à domestique</w:t>
      </w:r>
      <w:r w:rsidR="00920B72">
        <w:rPr>
          <w:rFonts w:ascii="Times New Roman" w:hAnsi="Times New Roman" w:cs="Times New Roman"/>
        </w:rPr>
        <w:t>r le monde associatif</w:t>
      </w:r>
      <w:r>
        <w:rPr>
          <w:rFonts w:ascii="Times New Roman" w:hAnsi="Times New Roman" w:cs="Times New Roman"/>
        </w:rPr>
        <w:t>, à défaut de contrôler (Cf. la circulaire du 25 septembre 1998,</w:t>
      </w:r>
      <w:r w:rsidR="00E06917">
        <w:rPr>
          <w:rFonts w:ascii="Times New Roman" w:hAnsi="Times New Roman" w:cs="Times New Roman"/>
        </w:rPr>
        <w:t xml:space="preserve"> </w:t>
      </w:r>
      <w:r w:rsidR="001C185A">
        <w:rPr>
          <w:rFonts w:ascii="Times New Roman" w:hAnsi="Times New Roman" w:cs="Times New Roman"/>
        </w:rPr>
        <w:t>tempérée</w:t>
      </w:r>
      <w:r>
        <w:rPr>
          <w:rFonts w:ascii="Times New Roman" w:hAnsi="Times New Roman" w:cs="Times New Roman"/>
        </w:rPr>
        <w:t xml:space="preserve"> par celle du 15 février 1999). </w:t>
      </w:r>
      <w:r w:rsidR="000C1A4D">
        <w:rPr>
          <w:rFonts w:ascii="Times New Roman" w:hAnsi="Times New Roman" w:cs="Times New Roman"/>
        </w:rPr>
        <w:t>Déjà échaudé qu’il était par la liberté syndicale souvent entravée et privée de moyens, l</w:t>
      </w:r>
      <w:r>
        <w:rPr>
          <w:rFonts w:ascii="Times New Roman" w:hAnsi="Times New Roman" w:cs="Times New Roman"/>
        </w:rPr>
        <w:t xml:space="preserve">e patronat organisé au sein du MEDEF n’appréciait pas </w:t>
      </w:r>
      <w:r w:rsidR="00F02EE4">
        <w:rPr>
          <w:rFonts w:ascii="Times New Roman" w:hAnsi="Times New Roman" w:cs="Times New Roman"/>
        </w:rPr>
        <w:t>le monde associatif,</w:t>
      </w:r>
      <w:r w:rsidR="000C1A4D">
        <w:rPr>
          <w:rFonts w:ascii="Times New Roman" w:hAnsi="Times New Roman" w:cs="Times New Roman"/>
        </w:rPr>
        <w:t xml:space="preserve"> </w:t>
      </w:r>
      <w:r w:rsidR="00F02EE4">
        <w:rPr>
          <w:rFonts w:ascii="Times New Roman" w:hAnsi="Times New Roman" w:cs="Times New Roman"/>
        </w:rPr>
        <w:t>sauf lorsqu’il se limitait à la pratique du sport, aux loisirs « innocents », au social et au secours des plus démunis (les victimes du capitalisme)</w:t>
      </w:r>
      <w:r w:rsidR="000C1A4D">
        <w:rPr>
          <w:rFonts w:ascii="Times New Roman" w:hAnsi="Times New Roman" w:cs="Times New Roman"/>
        </w:rPr>
        <w:t>, ou encore aux activités cultuelles et annexes</w:t>
      </w:r>
      <w:r w:rsidR="00F02EE4">
        <w:rPr>
          <w:rFonts w:ascii="Times New Roman" w:hAnsi="Times New Roman" w:cs="Times New Roman"/>
        </w:rPr>
        <w:t xml:space="preserve">. </w:t>
      </w:r>
      <w:r w:rsidR="000C1A4D">
        <w:rPr>
          <w:rFonts w:ascii="Times New Roman" w:hAnsi="Times New Roman" w:cs="Times New Roman"/>
        </w:rPr>
        <w:t xml:space="preserve">En </w:t>
      </w:r>
      <w:r w:rsidR="00F55A08">
        <w:rPr>
          <w:rFonts w:ascii="Times New Roman" w:hAnsi="Times New Roman" w:cs="Times New Roman"/>
        </w:rPr>
        <w:t>mai 2002</w:t>
      </w:r>
      <w:r w:rsidR="000C1A4D">
        <w:rPr>
          <w:rFonts w:ascii="Times New Roman" w:hAnsi="Times New Roman" w:cs="Times New Roman"/>
        </w:rPr>
        <w:t>, un important rapport</w:t>
      </w:r>
      <w:r w:rsidR="00F55A08">
        <w:rPr>
          <w:rStyle w:val="Appelnotedebasdep"/>
          <w:rFonts w:ascii="Times New Roman" w:hAnsi="Times New Roman" w:cs="Times New Roman"/>
        </w:rPr>
        <w:footnoteReference w:id="1"/>
      </w:r>
      <w:r w:rsidR="000C1A4D">
        <w:rPr>
          <w:rFonts w:ascii="Times New Roman" w:hAnsi="Times New Roman" w:cs="Times New Roman"/>
        </w:rPr>
        <w:t xml:space="preserve"> tradui</w:t>
      </w:r>
      <w:r w:rsidR="00F55A08">
        <w:rPr>
          <w:rFonts w:ascii="Times New Roman" w:hAnsi="Times New Roman" w:cs="Times New Roman"/>
        </w:rPr>
        <w:t>sant</w:t>
      </w:r>
      <w:r w:rsidR="000C1A4D">
        <w:rPr>
          <w:rFonts w:ascii="Times New Roman" w:hAnsi="Times New Roman" w:cs="Times New Roman"/>
        </w:rPr>
        <w:t xml:space="preserve"> cette </w:t>
      </w:r>
      <w:r w:rsidR="00A510AF">
        <w:rPr>
          <w:rFonts w:ascii="Times New Roman" w:hAnsi="Times New Roman" w:cs="Times New Roman"/>
        </w:rPr>
        <w:t>hostilité larvée en déclaration de guerre.</w:t>
      </w:r>
      <w:r w:rsidR="00C40B6A">
        <w:rPr>
          <w:rFonts w:ascii="Times New Roman" w:hAnsi="Times New Roman" w:cs="Times New Roman"/>
        </w:rPr>
        <w:t xml:space="preserve"> Que dit le MEDEF ? Que la non-lucrativité constitue un avantage concurrentiel inacceptable, sous-entendu que les associations sont des commerçants dès lors qu’elles tirent de leur activité des ressources financières. </w:t>
      </w:r>
      <w:r w:rsidR="008A2103">
        <w:rPr>
          <w:rFonts w:ascii="Times New Roman" w:hAnsi="Times New Roman" w:cs="Times New Roman"/>
        </w:rPr>
        <w:t xml:space="preserve">Sans </w:t>
      </w:r>
      <w:r w:rsidR="002970BB">
        <w:rPr>
          <w:rFonts w:ascii="Times New Roman" w:hAnsi="Times New Roman" w:cs="Times New Roman"/>
        </w:rPr>
        <w:t>considérer les</w:t>
      </w:r>
      <w:r w:rsidR="008A2103">
        <w:rPr>
          <w:rFonts w:ascii="Times New Roman" w:hAnsi="Times New Roman" w:cs="Times New Roman"/>
        </w:rPr>
        <w:t xml:space="preserve"> avantages offerts aux entreprises, le MEDEF ajout</w:t>
      </w:r>
      <w:r w:rsidR="002970BB">
        <w:rPr>
          <w:rFonts w:ascii="Times New Roman" w:hAnsi="Times New Roman" w:cs="Times New Roman"/>
        </w:rPr>
        <w:t xml:space="preserve">e que les subventions accordées par la puissance publique accentuent les déséquilibrent d’une concurrence déloyale selon son point de vue. </w:t>
      </w:r>
      <w:r w:rsidR="00C40B6A">
        <w:rPr>
          <w:rFonts w:ascii="Times New Roman" w:hAnsi="Times New Roman" w:cs="Times New Roman"/>
        </w:rPr>
        <w:t xml:space="preserve">Il existe bien sûr </w:t>
      </w:r>
      <w:r w:rsidR="002D550B">
        <w:rPr>
          <w:rFonts w:ascii="Times New Roman" w:hAnsi="Times New Roman" w:cs="Times New Roman"/>
        </w:rPr>
        <w:t xml:space="preserve">des dérives, </w:t>
      </w:r>
      <w:r w:rsidR="00C40B6A">
        <w:rPr>
          <w:rFonts w:ascii="Times New Roman" w:hAnsi="Times New Roman" w:cs="Times New Roman"/>
        </w:rPr>
        <w:t>des associations</w:t>
      </w:r>
      <w:r w:rsidR="002D550B">
        <w:rPr>
          <w:rFonts w:ascii="Times New Roman" w:hAnsi="Times New Roman" w:cs="Times New Roman"/>
        </w:rPr>
        <w:t xml:space="preserve"> peu démocratiques en leur sein ou</w:t>
      </w:r>
      <w:r w:rsidR="00C40B6A">
        <w:rPr>
          <w:rFonts w:ascii="Times New Roman" w:hAnsi="Times New Roman" w:cs="Times New Roman"/>
        </w:rPr>
        <w:t xml:space="preserve"> qui sont un paravent masquant </w:t>
      </w:r>
      <w:r w:rsidR="00E25EEF">
        <w:rPr>
          <w:rFonts w:ascii="Times New Roman" w:hAnsi="Times New Roman" w:cs="Times New Roman"/>
        </w:rPr>
        <w:t>des activités commerciales</w:t>
      </w:r>
      <w:r w:rsidR="00C40B6A">
        <w:rPr>
          <w:rFonts w:ascii="Times New Roman" w:hAnsi="Times New Roman" w:cs="Times New Roman"/>
        </w:rPr>
        <w:t>. Elles sont peu nombreuses. Suffisamment de lois, décrets et règlements ont été édités depuis des décennies pour en limiter l’émergence et corriger ou interdire les abus</w:t>
      </w:r>
      <w:r w:rsidR="00F55A08">
        <w:rPr>
          <w:rFonts w:ascii="Times New Roman" w:hAnsi="Times New Roman" w:cs="Times New Roman"/>
        </w:rPr>
        <w:t>, même si ce n’est pas toujours simple à détecter.</w:t>
      </w:r>
    </w:p>
    <w:p w14:paraId="6A0EFC61" w14:textId="77777777" w:rsidR="00F55A08" w:rsidRDefault="00F55A08" w:rsidP="00A21F95">
      <w:pPr>
        <w:jc w:val="both"/>
        <w:rPr>
          <w:rFonts w:ascii="Times New Roman" w:hAnsi="Times New Roman" w:cs="Times New Roman"/>
        </w:rPr>
      </w:pPr>
    </w:p>
    <w:p w14:paraId="5BF4F7EB" w14:textId="77777777" w:rsidR="002847D3" w:rsidRDefault="00F55A08" w:rsidP="00A21F95">
      <w:pPr>
        <w:jc w:val="both"/>
        <w:rPr>
          <w:rFonts w:ascii="Times New Roman" w:hAnsi="Times New Roman" w:cs="Times New Roman"/>
        </w:rPr>
      </w:pPr>
      <w:r>
        <w:rPr>
          <w:rFonts w:ascii="Times New Roman" w:hAnsi="Times New Roman" w:cs="Times New Roman"/>
        </w:rPr>
        <w:t xml:space="preserve">La circulaire du 18 janvier 2010 s’inspire directement de la position du MEDEF. Les associations sont sommées de prouver que leur activité ne </w:t>
      </w:r>
      <w:r w:rsidR="00E25EEF">
        <w:rPr>
          <w:rFonts w:ascii="Times New Roman" w:hAnsi="Times New Roman" w:cs="Times New Roman"/>
        </w:rPr>
        <w:t>relève</w:t>
      </w:r>
      <w:r>
        <w:rPr>
          <w:rFonts w:ascii="Times New Roman" w:hAnsi="Times New Roman" w:cs="Times New Roman"/>
        </w:rPr>
        <w:t xml:space="preserve"> pas du commerce et des lois de la concurrence. Inversion de la charge de la preuve. On doit prouver son innocence sans quoi il faudra passer sous les fourches caudines des lois du marché et de la fiscalité afférente. Comme très souvent, le texte s’accompagne d’un entrelacs de mesures et de démarches bureaucratiques</w:t>
      </w:r>
      <w:r w:rsidR="009A336A">
        <w:rPr>
          <w:rFonts w:ascii="Times New Roman" w:hAnsi="Times New Roman" w:cs="Times New Roman"/>
        </w:rPr>
        <w:t xml:space="preserve"> dont la complexité n’a d’égale que la volonté de soumettre le monde associatif, autrement d’en restreindre la liberté.</w:t>
      </w:r>
    </w:p>
    <w:p w14:paraId="5FD7D4AD" w14:textId="77777777" w:rsidR="00DE58DF" w:rsidRDefault="00DE58DF" w:rsidP="00A21F95">
      <w:pPr>
        <w:jc w:val="both"/>
        <w:rPr>
          <w:rFonts w:ascii="Times New Roman" w:hAnsi="Times New Roman" w:cs="Times New Roman"/>
        </w:rPr>
      </w:pPr>
    </w:p>
    <w:p w14:paraId="7606D6AC" w14:textId="77777777" w:rsidR="002847D3" w:rsidRDefault="002847D3" w:rsidP="00A21F95">
      <w:pPr>
        <w:jc w:val="both"/>
        <w:rPr>
          <w:rFonts w:ascii="Times New Roman" w:hAnsi="Times New Roman" w:cs="Times New Roman"/>
        </w:rPr>
      </w:pPr>
    </w:p>
    <w:p w14:paraId="7F667EEA" w14:textId="77777777" w:rsidR="002847D3" w:rsidRPr="00DC4AB8" w:rsidRDefault="00387121" w:rsidP="00A21F95">
      <w:pPr>
        <w:jc w:val="both"/>
        <w:rPr>
          <w:rFonts w:ascii="Times New Roman" w:hAnsi="Times New Roman" w:cs="Times New Roman"/>
          <w:b/>
        </w:rPr>
      </w:pPr>
      <w:r w:rsidRPr="00DC4AB8">
        <w:rPr>
          <w:rFonts w:ascii="Times New Roman" w:hAnsi="Times New Roman" w:cs="Times New Roman"/>
          <w:b/>
        </w:rPr>
        <w:t>Le CAC avant le CAC</w:t>
      </w:r>
    </w:p>
    <w:p w14:paraId="1A1FCFB8" w14:textId="77777777" w:rsidR="00934AC4" w:rsidRDefault="00934AC4" w:rsidP="00A21F95">
      <w:pPr>
        <w:jc w:val="both"/>
        <w:rPr>
          <w:rFonts w:ascii="Times New Roman" w:hAnsi="Times New Roman" w:cs="Times New Roman"/>
        </w:rPr>
      </w:pPr>
    </w:p>
    <w:p w14:paraId="5170914C" w14:textId="6E374F9F" w:rsidR="00934AC4" w:rsidRDefault="00934AC4" w:rsidP="00A21F95">
      <w:pPr>
        <w:jc w:val="both"/>
        <w:rPr>
          <w:rFonts w:ascii="Times New Roman" w:hAnsi="Times New Roman" w:cs="Times New Roman"/>
        </w:rPr>
      </w:pPr>
      <w:r>
        <w:rPr>
          <w:rFonts w:ascii="Times New Roman" w:hAnsi="Times New Roman" w:cs="Times New Roman"/>
        </w:rPr>
        <w:lastRenderedPageBreak/>
        <w:t>La circulaire Fillon, de ce point de vue</w:t>
      </w:r>
      <w:r w:rsidR="00DB0A78">
        <w:rPr>
          <w:rFonts w:ascii="Times New Roman" w:hAnsi="Times New Roman" w:cs="Times New Roman"/>
        </w:rPr>
        <w:t>,</w:t>
      </w:r>
      <w:r>
        <w:rPr>
          <w:rFonts w:ascii="Times New Roman" w:hAnsi="Times New Roman" w:cs="Times New Roman"/>
        </w:rPr>
        <w:t xml:space="preserve"> </w:t>
      </w:r>
      <w:r w:rsidR="00DB0A78">
        <w:rPr>
          <w:rFonts w:ascii="Times New Roman" w:hAnsi="Times New Roman" w:cs="Times New Roman"/>
        </w:rPr>
        <w:t xml:space="preserve">s’apparente à une loi </w:t>
      </w:r>
      <w:r>
        <w:rPr>
          <w:rFonts w:ascii="Times New Roman" w:hAnsi="Times New Roman" w:cs="Times New Roman"/>
        </w:rPr>
        <w:t>scélérate (atteinte aux liberté</w:t>
      </w:r>
      <w:r w:rsidR="009961DF">
        <w:rPr>
          <w:rFonts w:ascii="Times New Roman" w:hAnsi="Times New Roman" w:cs="Times New Roman"/>
        </w:rPr>
        <w:t>s</w:t>
      </w:r>
      <w:r>
        <w:rPr>
          <w:rFonts w:ascii="Times New Roman" w:hAnsi="Times New Roman" w:cs="Times New Roman"/>
        </w:rPr>
        <w:t>)</w:t>
      </w:r>
      <w:r w:rsidR="00DB0A78">
        <w:rPr>
          <w:rFonts w:ascii="Times New Roman" w:hAnsi="Times New Roman" w:cs="Times New Roman"/>
        </w:rPr>
        <w:t>,</w:t>
      </w:r>
      <w:r>
        <w:rPr>
          <w:rFonts w:ascii="Times New Roman" w:hAnsi="Times New Roman" w:cs="Times New Roman"/>
        </w:rPr>
        <w:t xml:space="preserve"> bien qu’elle n’ait pas le statut d’une loi. Une partie du monde associatif s’en émeut et se rebelle. Une autre préfère l’agir discret plutôt que l’affrontement avec le pouvoir d’État. </w:t>
      </w:r>
      <w:r w:rsidR="00987223">
        <w:rPr>
          <w:rFonts w:ascii="Times New Roman" w:hAnsi="Times New Roman" w:cs="Times New Roman"/>
        </w:rPr>
        <w:t>La majorité n’a pas connaissance du texte, ne se sent pas concernée ou ne souhaite pas entrer en conflit avec ses financeurs publics.</w:t>
      </w:r>
    </w:p>
    <w:p w14:paraId="6682E713" w14:textId="77777777" w:rsidR="00F2646F" w:rsidRDefault="00F2646F" w:rsidP="00A21F95">
      <w:pPr>
        <w:jc w:val="both"/>
        <w:rPr>
          <w:rFonts w:ascii="Times New Roman" w:hAnsi="Times New Roman" w:cs="Times New Roman"/>
        </w:rPr>
      </w:pPr>
    </w:p>
    <w:p w14:paraId="46E7B545" w14:textId="77777777" w:rsidR="00F2646F" w:rsidRDefault="00F2646F" w:rsidP="00A21F95">
      <w:pPr>
        <w:jc w:val="both"/>
        <w:rPr>
          <w:rFonts w:ascii="Times New Roman" w:hAnsi="Times New Roman" w:cs="Times New Roman"/>
        </w:rPr>
      </w:pPr>
      <w:r>
        <w:rPr>
          <w:rFonts w:ascii="Times New Roman" w:hAnsi="Times New Roman" w:cs="Times New Roman"/>
        </w:rPr>
        <w:t xml:space="preserve">RÉAGIR DONC. Mais comment ? Le monde associatif qui se réclame de l’émancipation ou plus simplement du droit à faire ensemble sans contraintes n’a pas l’habitude de se concerter pour une mobilisation contestataire. Sa tendance est plutôt celle du profil bas, du chacun dans son coin, une concurrence non commerciale mais idéologique ou performative (être le ou la meilleure dans sa catégorie sportive ou autre). </w:t>
      </w:r>
      <w:r w:rsidR="00D96E14">
        <w:rPr>
          <w:rFonts w:ascii="Times New Roman" w:hAnsi="Times New Roman" w:cs="Times New Roman"/>
        </w:rPr>
        <w:t>Premiers contacts entre personnes, par ailleurs engagées socialement sur divers terrains, exerçant des responsabilités associatives. Didier Minot est à la manœuvre.</w:t>
      </w:r>
      <w:r w:rsidR="00AB3C41">
        <w:rPr>
          <w:rFonts w:ascii="Times New Roman" w:hAnsi="Times New Roman" w:cs="Times New Roman"/>
        </w:rPr>
        <w:t xml:space="preserve"> L’idée : se rencontrer, créer un collectif, ne pas laisser la circulaire Fillon s’appliquer comme si de rien n’était, envisager comment réagir collectivement. Bref créer un front capable de faire</w:t>
      </w:r>
      <w:r w:rsidR="00C562D0">
        <w:rPr>
          <w:rFonts w:ascii="Times New Roman" w:hAnsi="Times New Roman" w:cs="Times New Roman"/>
        </w:rPr>
        <w:t xml:space="preserve"> face et d’assurer la liberté d’association, autant que toutes les autres libertés</w:t>
      </w:r>
      <w:r w:rsidR="00DC4AB8">
        <w:rPr>
          <w:rFonts w:ascii="Times New Roman" w:hAnsi="Times New Roman" w:cs="Times New Roman"/>
        </w:rPr>
        <w:t>. Le collectif informatif rapidement constitué, et qui s’élargira rapidement, décide de plaider l’annulation devant le Conseil d’État. Pour des raisons de délai et de procédure, le recours est rejeté. La circulaire devenait applicable. Le collectif décide de poursuivre son action par la mobilisation du plus grand nombre d’associations</w:t>
      </w:r>
      <w:r w:rsidR="00FC1918">
        <w:rPr>
          <w:rFonts w:ascii="Times New Roman" w:hAnsi="Times New Roman" w:cs="Times New Roman"/>
        </w:rPr>
        <w:t xml:space="preserve"> considérant que </w:t>
      </w:r>
      <w:r w:rsidR="00EE68A8">
        <w:rPr>
          <w:rFonts w:ascii="Times New Roman" w:hAnsi="Times New Roman" w:cs="Times New Roman"/>
        </w:rPr>
        <w:t>celles-ci</w:t>
      </w:r>
      <w:r w:rsidR="00FC1918">
        <w:rPr>
          <w:rFonts w:ascii="Times New Roman" w:hAnsi="Times New Roman" w:cs="Times New Roman"/>
        </w:rPr>
        <w:t xml:space="preserve"> sont garantes de l’intérêt </w:t>
      </w:r>
      <w:r w:rsidR="00EE68A8">
        <w:rPr>
          <w:rFonts w:ascii="Times New Roman" w:hAnsi="Times New Roman" w:cs="Times New Roman"/>
        </w:rPr>
        <w:t xml:space="preserve">général </w:t>
      </w:r>
      <w:r w:rsidR="00FC1918">
        <w:rPr>
          <w:rFonts w:ascii="Times New Roman" w:hAnsi="Times New Roman" w:cs="Times New Roman"/>
        </w:rPr>
        <w:t xml:space="preserve">parce que justement, même si elles peuvent avoir des activités rémunératrices pour elles-mêmes, elles </w:t>
      </w:r>
      <w:r w:rsidR="007B0EF7">
        <w:rPr>
          <w:rFonts w:ascii="Times New Roman" w:hAnsi="Times New Roman" w:cs="Times New Roman"/>
        </w:rPr>
        <w:t>ne sont pas des entreprises commerciales à la recherche du profit privé</w:t>
      </w:r>
      <w:r w:rsidR="00EE68A8">
        <w:rPr>
          <w:rFonts w:ascii="Times New Roman" w:hAnsi="Times New Roman" w:cs="Times New Roman"/>
        </w:rPr>
        <w:t>. C</w:t>
      </w:r>
      <w:r w:rsidR="007B0EF7">
        <w:rPr>
          <w:rFonts w:ascii="Times New Roman" w:hAnsi="Times New Roman" w:cs="Times New Roman"/>
        </w:rPr>
        <w:t xml:space="preserve">e faisant, elles </w:t>
      </w:r>
      <w:r w:rsidR="00FC1918">
        <w:rPr>
          <w:rFonts w:ascii="Times New Roman" w:hAnsi="Times New Roman" w:cs="Times New Roman"/>
        </w:rPr>
        <w:t>contribuent</w:t>
      </w:r>
      <w:r w:rsidR="00EE68A8">
        <w:rPr>
          <w:rFonts w:ascii="Times New Roman" w:hAnsi="Times New Roman" w:cs="Times New Roman"/>
        </w:rPr>
        <w:t>, chacune à sa façon,</w:t>
      </w:r>
      <w:r w:rsidR="00FC1918">
        <w:rPr>
          <w:rFonts w:ascii="Times New Roman" w:hAnsi="Times New Roman" w:cs="Times New Roman"/>
        </w:rPr>
        <w:t xml:space="preserve"> à l’intérêt général.</w:t>
      </w:r>
    </w:p>
    <w:p w14:paraId="4221EB16" w14:textId="77777777" w:rsidR="00A30500" w:rsidRDefault="00A30500" w:rsidP="00A21F95">
      <w:pPr>
        <w:jc w:val="both"/>
        <w:rPr>
          <w:rFonts w:ascii="Times New Roman" w:hAnsi="Times New Roman" w:cs="Times New Roman"/>
        </w:rPr>
      </w:pPr>
    </w:p>
    <w:p w14:paraId="2A448EB9" w14:textId="77777777" w:rsidR="00387121" w:rsidRDefault="00A30500" w:rsidP="00A21F95">
      <w:pPr>
        <w:jc w:val="both"/>
        <w:rPr>
          <w:rFonts w:ascii="Times New Roman" w:hAnsi="Times New Roman" w:cs="Times New Roman"/>
        </w:rPr>
      </w:pPr>
      <w:r>
        <w:rPr>
          <w:rFonts w:ascii="Times New Roman" w:hAnsi="Times New Roman" w:cs="Times New Roman"/>
        </w:rPr>
        <w:t>Ce seront des responsables de petites et moyennes associations, d’éducation populaire ou engagées dans le domaine social, qui constitue</w:t>
      </w:r>
      <w:r w:rsidR="004C4174">
        <w:rPr>
          <w:rFonts w:ascii="Times New Roman" w:hAnsi="Times New Roman" w:cs="Times New Roman"/>
        </w:rPr>
        <w:t>nt</w:t>
      </w:r>
      <w:r>
        <w:rPr>
          <w:rFonts w:ascii="Times New Roman" w:hAnsi="Times New Roman" w:cs="Times New Roman"/>
        </w:rPr>
        <w:t xml:space="preserve"> le premier rassemblement</w:t>
      </w:r>
      <w:r w:rsidR="004C4174">
        <w:rPr>
          <w:rFonts w:ascii="Times New Roman" w:hAnsi="Times New Roman" w:cs="Times New Roman"/>
        </w:rPr>
        <w:t xml:space="preserve"> qui</w:t>
      </w:r>
      <w:r w:rsidR="00F47D89">
        <w:rPr>
          <w:rFonts w:ascii="Times New Roman" w:hAnsi="Times New Roman" w:cs="Times New Roman"/>
        </w:rPr>
        <w:t xml:space="preserve"> d’emblée se positionne contre cette tentative de soumettre le monde associatif à la marchandisation.</w:t>
      </w:r>
      <w:r w:rsidR="004C4174">
        <w:rPr>
          <w:rFonts w:ascii="Times New Roman" w:hAnsi="Times New Roman" w:cs="Times New Roman"/>
        </w:rPr>
        <w:t xml:space="preserve"> L’analyse de la circulaire montre que la liberté d’association est menacé</w:t>
      </w:r>
      <w:r w:rsidR="00FF37D1">
        <w:rPr>
          <w:rFonts w:ascii="Times New Roman" w:hAnsi="Times New Roman" w:cs="Times New Roman"/>
        </w:rPr>
        <w:t>e</w:t>
      </w:r>
      <w:r w:rsidR="004C4174">
        <w:rPr>
          <w:rFonts w:ascii="Times New Roman" w:hAnsi="Times New Roman" w:cs="Times New Roman"/>
        </w:rPr>
        <w:t xml:space="preserve"> </w:t>
      </w:r>
      <w:r w:rsidR="003B7597">
        <w:rPr>
          <w:rFonts w:ascii="Times New Roman" w:hAnsi="Times New Roman" w:cs="Times New Roman"/>
        </w:rPr>
        <w:t>par le recul déjà engagé de réduction des subventions publiques, la mise en concurrence des associations par le biais des appels d’offre publics, sensées combler la diminution des subventions et, surtout, remplacer l’initiative associative (la liberté d’initiative) par des projets ministériels ou émanant des collectivités publiques ou territoriales dont les associations vont se disputer pour en obtenir l’attribution. Le monde associatif, notamment dans le domaine social et dans l’éduction populaire, perdrait ainsi progressivement sa liberté et son pouvoir d’agir pour devenir le sous-traitant de la puissance publique</w:t>
      </w:r>
      <w:r w:rsidR="00C562D0">
        <w:rPr>
          <w:rFonts w:ascii="Times New Roman" w:hAnsi="Times New Roman" w:cs="Times New Roman"/>
        </w:rPr>
        <w:t xml:space="preserve"> à différents niveaux institutionnels.</w:t>
      </w:r>
    </w:p>
    <w:p w14:paraId="23241FFB" w14:textId="77777777" w:rsidR="00C562D0" w:rsidRDefault="00C562D0" w:rsidP="00A21F95">
      <w:pPr>
        <w:jc w:val="both"/>
        <w:rPr>
          <w:rFonts w:ascii="Times New Roman" w:hAnsi="Times New Roman" w:cs="Times New Roman"/>
        </w:rPr>
      </w:pPr>
    </w:p>
    <w:p w14:paraId="3BEBB2AE" w14:textId="213C2EC9" w:rsidR="00FF0458" w:rsidRDefault="00C562D0" w:rsidP="00A21F95">
      <w:pPr>
        <w:jc w:val="both"/>
        <w:rPr>
          <w:rFonts w:ascii="Times New Roman" w:hAnsi="Times New Roman" w:cs="Times New Roman"/>
        </w:rPr>
      </w:pPr>
      <w:r>
        <w:rPr>
          <w:rFonts w:ascii="Times New Roman" w:hAnsi="Times New Roman" w:cs="Times New Roman"/>
        </w:rPr>
        <w:t xml:space="preserve">L’histoire du </w:t>
      </w:r>
      <w:r w:rsidR="00737123">
        <w:rPr>
          <w:rFonts w:ascii="Times New Roman" w:hAnsi="Times New Roman" w:cs="Times New Roman"/>
        </w:rPr>
        <w:t>Collectif des Associations Citoyennes méritait, pour ses dix ans, d’être rappelé</w:t>
      </w:r>
      <w:r w:rsidR="00CD5B7A">
        <w:rPr>
          <w:rFonts w:ascii="Times New Roman" w:hAnsi="Times New Roman" w:cs="Times New Roman"/>
        </w:rPr>
        <w:t>e</w:t>
      </w:r>
      <w:r w:rsidR="003B3955">
        <w:rPr>
          <w:rFonts w:ascii="Times New Roman" w:hAnsi="Times New Roman" w:cs="Times New Roman"/>
        </w:rPr>
        <w:t xml:space="preserve">. Le </w:t>
      </w:r>
      <w:r w:rsidR="00DA018E">
        <w:rPr>
          <w:rFonts w:ascii="Times New Roman" w:hAnsi="Times New Roman" w:cs="Times New Roman"/>
        </w:rPr>
        <w:t>25 avril 2010, le CAC lance un appel intitulé : « </w:t>
      </w:r>
      <w:r w:rsidR="00DA018E" w:rsidRPr="00DA018E">
        <w:rPr>
          <w:rFonts w:ascii="Times New Roman" w:hAnsi="Times New Roman" w:cs="Times New Roman"/>
          <w:b/>
          <w:i/>
        </w:rPr>
        <w:t>Non à la remise en cause des libertés associatives !</w:t>
      </w:r>
      <w:r w:rsidR="00DA018E" w:rsidRPr="00DA018E">
        <w:rPr>
          <w:rFonts w:ascii="Times New Roman" w:hAnsi="Times New Roman" w:cs="Times New Roman"/>
          <w:i/>
        </w:rPr>
        <w:t xml:space="preserve"> Les associations citoyennes doivent agir ensemble</w:t>
      </w:r>
      <w:r w:rsidR="00DA018E">
        <w:rPr>
          <w:rFonts w:ascii="Times New Roman" w:hAnsi="Times New Roman" w:cs="Times New Roman"/>
        </w:rPr>
        <w:t xml:space="preserve"> ». </w:t>
      </w:r>
      <w:r w:rsidR="00737123">
        <w:rPr>
          <w:rFonts w:ascii="Times New Roman" w:hAnsi="Times New Roman" w:cs="Times New Roman"/>
        </w:rPr>
        <w:t xml:space="preserve"> </w:t>
      </w:r>
      <w:r w:rsidR="00DA018E">
        <w:rPr>
          <w:rFonts w:ascii="Times New Roman" w:hAnsi="Times New Roman" w:cs="Times New Roman"/>
        </w:rPr>
        <w:t>Car les associations citoyennes sont bien celles qui décident d’agir ensemble démocratiquement, en tant que citoyennes, chacune avec sa singularité.</w:t>
      </w:r>
      <w:r w:rsidR="00FC4E93">
        <w:rPr>
          <w:rFonts w:ascii="Times New Roman" w:hAnsi="Times New Roman" w:cs="Times New Roman"/>
        </w:rPr>
        <w:t xml:space="preserve"> </w:t>
      </w:r>
      <w:r w:rsidR="00254873">
        <w:rPr>
          <w:rFonts w:ascii="Times New Roman" w:hAnsi="Times New Roman" w:cs="Times New Roman"/>
        </w:rPr>
        <w:t>L’appel sera rapidement soutenu par un nombre important d’associations</w:t>
      </w:r>
      <w:r w:rsidR="00100A40">
        <w:rPr>
          <w:rFonts w:ascii="Times New Roman" w:hAnsi="Times New Roman" w:cs="Times New Roman"/>
        </w:rPr>
        <w:t xml:space="preserve"> nationales ou locales, fédérées ou non</w:t>
      </w:r>
      <w:r w:rsidR="00005287">
        <w:rPr>
          <w:rFonts w:ascii="Times New Roman" w:hAnsi="Times New Roman" w:cs="Times New Roman"/>
        </w:rPr>
        <w:t>, d</w:t>
      </w:r>
      <w:r w:rsidR="00FF0458">
        <w:rPr>
          <w:rFonts w:ascii="Times New Roman" w:hAnsi="Times New Roman" w:cs="Times New Roman"/>
        </w:rPr>
        <w:t>’animateurs et</w:t>
      </w:r>
      <w:r w:rsidR="00005287">
        <w:rPr>
          <w:rFonts w:ascii="Times New Roman" w:hAnsi="Times New Roman" w:cs="Times New Roman"/>
        </w:rPr>
        <w:t xml:space="preserve"> responsables associatifs</w:t>
      </w:r>
      <w:r w:rsidR="00FC4E93">
        <w:rPr>
          <w:rFonts w:ascii="Times New Roman" w:hAnsi="Times New Roman" w:cs="Times New Roman"/>
        </w:rPr>
        <w:t xml:space="preserve"> et de personnalités d’horizons différents.</w:t>
      </w:r>
      <w:r w:rsidR="007A1B05">
        <w:rPr>
          <w:rFonts w:ascii="Times New Roman" w:hAnsi="Times New Roman" w:cs="Times New Roman"/>
        </w:rPr>
        <w:t xml:space="preserve"> Près de 2000 signatures début mai 2010.</w:t>
      </w:r>
    </w:p>
    <w:p w14:paraId="5C329686" w14:textId="77777777" w:rsidR="00FF0458" w:rsidRDefault="00FF0458" w:rsidP="00A21F95">
      <w:pPr>
        <w:jc w:val="both"/>
        <w:rPr>
          <w:rFonts w:ascii="Times New Roman" w:hAnsi="Times New Roman" w:cs="Times New Roman"/>
        </w:rPr>
      </w:pPr>
    </w:p>
    <w:p w14:paraId="1BC5804D" w14:textId="77777777" w:rsidR="008A2103" w:rsidRDefault="006138CB" w:rsidP="00A21F95">
      <w:pPr>
        <w:jc w:val="both"/>
        <w:rPr>
          <w:rFonts w:ascii="Times New Roman" w:hAnsi="Times New Roman" w:cs="Times New Roman"/>
        </w:rPr>
      </w:pPr>
      <w:r>
        <w:rPr>
          <w:rFonts w:ascii="Times New Roman" w:hAnsi="Times New Roman" w:cs="Times New Roman"/>
        </w:rPr>
        <w:t>Dans ce</w:t>
      </w:r>
      <w:r w:rsidR="001C29C9">
        <w:rPr>
          <w:rFonts w:ascii="Times New Roman" w:hAnsi="Times New Roman" w:cs="Times New Roman"/>
        </w:rPr>
        <w:t xml:space="preserve"> document</w:t>
      </w:r>
      <w:r>
        <w:rPr>
          <w:rFonts w:ascii="Times New Roman" w:hAnsi="Times New Roman" w:cs="Times New Roman"/>
        </w:rPr>
        <w:t>,</w:t>
      </w:r>
      <w:r w:rsidR="00737123">
        <w:rPr>
          <w:rFonts w:ascii="Times New Roman" w:hAnsi="Times New Roman" w:cs="Times New Roman"/>
        </w:rPr>
        <w:t xml:space="preserve"> en cheminant à travers les communiqués qui ont été l’une des expressions collectives de ce qui a été entrepris, réfléchi, contesté, proposé</w:t>
      </w:r>
      <w:r w:rsidR="00DA018E">
        <w:rPr>
          <w:rFonts w:ascii="Times New Roman" w:hAnsi="Times New Roman" w:cs="Times New Roman"/>
        </w:rPr>
        <w:t xml:space="preserve">, on donne à voir </w:t>
      </w:r>
      <w:r w:rsidR="00C11CEB">
        <w:rPr>
          <w:rFonts w:ascii="Times New Roman" w:hAnsi="Times New Roman" w:cs="Times New Roman"/>
        </w:rPr>
        <w:t>les principes, les actions</w:t>
      </w:r>
      <w:r w:rsidR="002C05EE">
        <w:rPr>
          <w:rFonts w:ascii="Times New Roman" w:hAnsi="Times New Roman" w:cs="Times New Roman"/>
        </w:rPr>
        <w:t xml:space="preserve"> et les négociations</w:t>
      </w:r>
      <w:r w:rsidR="00C11CEB">
        <w:rPr>
          <w:rFonts w:ascii="Times New Roman" w:hAnsi="Times New Roman" w:cs="Times New Roman"/>
        </w:rPr>
        <w:t xml:space="preserve">, les </w:t>
      </w:r>
      <w:r w:rsidR="00B5563B">
        <w:rPr>
          <w:rFonts w:ascii="Times New Roman" w:hAnsi="Times New Roman" w:cs="Times New Roman"/>
        </w:rPr>
        <w:t xml:space="preserve">analyses, les </w:t>
      </w:r>
      <w:r w:rsidR="00C11CEB">
        <w:rPr>
          <w:rFonts w:ascii="Times New Roman" w:hAnsi="Times New Roman" w:cs="Times New Roman"/>
        </w:rPr>
        <w:t>élaborations</w:t>
      </w:r>
      <w:r w:rsidR="002C05EE">
        <w:rPr>
          <w:rFonts w:ascii="Times New Roman" w:hAnsi="Times New Roman" w:cs="Times New Roman"/>
        </w:rPr>
        <w:t xml:space="preserve"> et les </w:t>
      </w:r>
      <w:r w:rsidR="00880B4F">
        <w:rPr>
          <w:rFonts w:ascii="Times New Roman" w:hAnsi="Times New Roman" w:cs="Times New Roman"/>
        </w:rPr>
        <w:t>propositions</w:t>
      </w:r>
      <w:r w:rsidR="00C11CEB">
        <w:rPr>
          <w:rFonts w:ascii="Times New Roman" w:hAnsi="Times New Roman" w:cs="Times New Roman"/>
        </w:rPr>
        <w:t xml:space="preserve"> </w:t>
      </w:r>
      <w:r w:rsidR="00DA018E">
        <w:rPr>
          <w:rFonts w:ascii="Times New Roman" w:hAnsi="Times New Roman" w:cs="Times New Roman"/>
        </w:rPr>
        <w:t xml:space="preserve">qui </w:t>
      </w:r>
      <w:r w:rsidR="00C11CEB">
        <w:rPr>
          <w:rFonts w:ascii="Times New Roman" w:hAnsi="Times New Roman" w:cs="Times New Roman"/>
        </w:rPr>
        <w:t xml:space="preserve">ont fait et </w:t>
      </w:r>
      <w:r w:rsidR="00DA018E">
        <w:rPr>
          <w:rFonts w:ascii="Times New Roman" w:hAnsi="Times New Roman" w:cs="Times New Roman"/>
        </w:rPr>
        <w:t>f</w:t>
      </w:r>
      <w:r w:rsidR="00C11CEB">
        <w:rPr>
          <w:rFonts w:ascii="Times New Roman" w:hAnsi="Times New Roman" w:cs="Times New Roman"/>
        </w:rPr>
        <w:t>on</w:t>
      </w:r>
      <w:r w:rsidR="00DA018E">
        <w:rPr>
          <w:rFonts w:ascii="Times New Roman" w:hAnsi="Times New Roman" w:cs="Times New Roman"/>
        </w:rPr>
        <w:t xml:space="preserve">t </w:t>
      </w:r>
      <w:r w:rsidR="00C11CEB">
        <w:rPr>
          <w:rFonts w:ascii="Times New Roman" w:hAnsi="Times New Roman" w:cs="Times New Roman"/>
        </w:rPr>
        <w:t>le</w:t>
      </w:r>
      <w:r w:rsidR="00DA018E">
        <w:rPr>
          <w:rFonts w:ascii="Times New Roman" w:hAnsi="Times New Roman" w:cs="Times New Roman"/>
        </w:rPr>
        <w:t xml:space="preserve"> CAC</w:t>
      </w:r>
      <w:r w:rsidR="00C11CEB">
        <w:rPr>
          <w:rFonts w:ascii="Times New Roman" w:hAnsi="Times New Roman" w:cs="Times New Roman"/>
        </w:rPr>
        <w:t xml:space="preserve">, </w:t>
      </w:r>
      <w:r w:rsidR="00E90B51">
        <w:rPr>
          <w:rFonts w:ascii="Times New Roman" w:hAnsi="Times New Roman" w:cs="Times New Roman"/>
        </w:rPr>
        <w:t xml:space="preserve">ainsi que les difficultés rencontrées, </w:t>
      </w:r>
      <w:r w:rsidR="00C11CEB">
        <w:rPr>
          <w:rFonts w:ascii="Times New Roman" w:hAnsi="Times New Roman" w:cs="Times New Roman"/>
        </w:rPr>
        <w:t xml:space="preserve">compte tenu </w:t>
      </w:r>
      <w:r w:rsidR="00E90B51">
        <w:rPr>
          <w:rFonts w:ascii="Times New Roman" w:hAnsi="Times New Roman" w:cs="Times New Roman"/>
        </w:rPr>
        <w:t>du contexte</w:t>
      </w:r>
      <w:r w:rsidR="001C29C9">
        <w:rPr>
          <w:rFonts w:ascii="Times New Roman" w:hAnsi="Times New Roman" w:cs="Times New Roman"/>
        </w:rPr>
        <w:t xml:space="preserve"> socio-politique</w:t>
      </w:r>
      <w:r w:rsidR="00E90B51">
        <w:rPr>
          <w:rFonts w:ascii="Times New Roman" w:hAnsi="Times New Roman" w:cs="Times New Roman"/>
        </w:rPr>
        <w:t xml:space="preserve"> et </w:t>
      </w:r>
      <w:r w:rsidR="00C11CEB">
        <w:rPr>
          <w:rFonts w:ascii="Times New Roman" w:hAnsi="Times New Roman" w:cs="Times New Roman"/>
        </w:rPr>
        <w:t>de la diversité de</w:t>
      </w:r>
      <w:r w:rsidR="00E90B51">
        <w:rPr>
          <w:rFonts w:ascii="Times New Roman" w:hAnsi="Times New Roman" w:cs="Times New Roman"/>
        </w:rPr>
        <w:t>s</w:t>
      </w:r>
      <w:r w:rsidR="00C11CEB">
        <w:rPr>
          <w:rFonts w:ascii="Times New Roman" w:hAnsi="Times New Roman" w:cs="Times New Roman"/>
        </w:rPr>
        <w:t xml:space="preserve"> m</w:t>
      </w:r>
      <w:r w:rsidR="00E90B51">
        <w:rPr>
          <w:rFonts w:ascii="Times New Roman" w:hAnsi="Times New Roman" w:cs="Times New Roman"/>
        </w:rPr>
        <w:t>embres du CAC. Le CAC fonctionnera au « consensus », dynamisé par la richesse de ses membres, parfois ne pouvant pas surmonter des divergences légitimes, trop forte</w:t>
      </w:r>
      <w:r w:rsidR="00D51DB6">
        <w:rPr>
          <w:rFonts w:ascii="Times New Roman" w:hAnsi="Times New Roman" w:cs="Times New Roman"/>
        </w:rPr>
        <w:t>s</w:t>
      </w:r>
      <w:r w:rsidR="00C470A5">
        <w:rPr>
          <w:rFonts w:ascii="Times New Roman" w:hAnsi="Times New Roman" w:cs="Times New Roman"/>
        </w:rPr>
        <w:t>, respectées</w:t>
      </w:r>
      <w:r w:rsidR="00D51DB6">
        <w:rPr>
          <w:rFonts w:ascii="Times New Roman" w:hAnsi="Times New Roman" w:cs="Times New Roman"/>
        </w:rPr>
        <w:t>.</w:t>
      </w:r>
      <w:r w:rsidR="000A1DF7">
        <w:rPr>
          <w:rFonts w:ascii="Times New Roman" w:hAnsi="Times New Roman" w:cs="Times New Roman"/>
        </w:rPr>
        <w:t xml:space="preserve"> Au lecteur d</w:t>
      </w:r>
      <w:r w:rsidR="000C6B18">
        <w:rPr>
          <w:rFonts w:ascii="Times New Roman" w:hAnsi="Times New Roman" w:cs="Times New Roman"/>
        </w:rPr>
        <w:t>’apprécier</w:t>
      </w:r>
      <w:r w:rsidR="000A1DF7">
        <w:rPr>
          <w:rFonts w:ascii="Times New Roman" w:hAnsi="Times New Roman" w:cs="Times New Roman"/>
        </w:rPr>
        <w:t>.</w:t>
      </w:r>
    </w:p>
    <w:p w14:paraId="5AF6817E" w14:textId="77777777" w:rsidR="009961DF" w:rsidRDefault="009961DF" w:rsidP="00A21F95">
      <w:pPr>
        <w:jc w:val="both"/>
        <w:rPr>
          <w:rFonts w:ascii="Times New Roman" w:hAnsi="Times New Roman" w:cs="Times New Roman"/>
        </w:rPr>
      </w:pPr>
    </w:p>
    <w:p w14:paraId="3DD2ACFE" w14:textId="1D7CA01D" w:rsidR="009961DF" w:rsidRPr="009961DF" w:rsidRDefault="009961DF" w:rsidP="009961DF">
      <w:pPr>
        <w:jc w:val="right"/>
        <w:rPr>
          <w:rFonts w:cstheme="minorHAnsi"/>
          <w:i/>
        </w:rPr>
      </w:pPr>
      <w:r w:rsidRPr="009961DF">
        <w:rPr>
          <w:rFonts w:cstheme="minorHAnsi"/>
          <w:i/>
        </w:rPr>
        <w:t>Marc Mangenot – le 19 oct 2019</w:t>
      </w:r>
    </w:p>
    <w:sectPr w:rsidR="009961DF" w:rsidRPr="009961DF" w:rsidSect="00717CD5">
      <w:pgSz w:w="11900" w:h="16840"/>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sa" w:date="2019-10-19T22:12:00Z" w:initials="I">
    <w:p w14:paraId="2DCD2570" w14:textId="77777777" w:rsidR="006944C5" w:rsidRDefault="006944C5">
      <w:pPr>
        <w:pStyle w:val="Commentaire"/>
      </w:pPr>
      <w:r>
        <w:rPr>
          <w:rStyle w:val="Marquedecommentaire"/>
        </w:rPr>
        <w:annotationRef/>
      </w:r>
      <w:r>
        <w:t>Très ciblée sur une pratique (manuelle, artistique, sportive…)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D25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55117" w14:textId="77777777" w:rsidR="00C50639" w:rsidRDefault="00C50639" w:rsidP="00F55A08">
      <w:r>
        <w:separator/>
      </w:r>
    </w:p>
  </w:endnote>
  <w:endnote w:type="continuationSeparator" w:id="0">
    <w:p w14:paraId="2D5A5A5D" w14:textId="77777777" w:rsidR="00C50639" w:rsidRDefault="00C50639" w:rsidP="00F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D252" w14:textId="77777777" w:rsidR="00C50639" w:rsidRDefault="00C50639" w:rsidP="00F55A08">
      <w:r>
        <w:separator/>
      </w:r>
    </w:p>
  </w:footnote>
  <w:footnote w:type="continuationSeparator" w:id="0">
    <w:p w14:paraId="6A7BDAFE" w14:textId="77777777" w:rsidR="00C50639" w:rsidRDefault="00C50639" w:rsidP="00F55A08">
      <w:r>
        <w:continuationSeparator/>
      </w:r>
    </w:p>
  </w:footnote>
  <w:footnote w:id="1">
    <w:p w14:paraId="79492D65" w14:textId="77777777" w:rsidR="00F55A08" w:rsidRDefault="00F55A08">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 Concurrence : marché unique, acteurs pluriels. Pour de nouvelles règles du jeu. »</w:t>
      </w:r>
    </w:p>
    <w:p w14:paraId="075F8543" w14:textId="77777777" w:rsidR="00F55A08" w:rsidRDefault="00F55A08">
      <w:pPr>
        <w:pStyle w:val="Notedebasdepage"/>
        <w:rPr>
          <w:rFonts w:ascii="Times New Roman" w:hAnsi="Times New Roman" w:cs="Times New Roman"/>
        </w:rPr>
      </w:pPr>
    </w:p>
    <w:p w14:paraId="768821B2" w14:textId="77777777" w:rsidR="00F55A08" w:rsidRPr="00F55A08" w:rsidRDefault="00F55A08">
      <w:pPr>
        <w:pStyle w:val="Notedebasdepage"/>
        <w:rPr>
          <w:rFonts w:ascii="Times New Roman" w:hAnsi="Times New Roman" w:cs="Times New Roman"/>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
    <w15:presenceInfo w15:providerId="None" w15:userId="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71"/>
    <w:rsid w:val="00005287"/>
    <w:rsid w:val="00031B52"/>
    <w:rsid w:val="00095F97"/>
    <w:rsid w:val="000A1DF7"/>
    <w:rsid w:val="000C1A4D"/>
    <w:rsid w:val="000C6B18"/>
    <w:rsid w:val="00100A40"/>
    <w:rsid w:val="001C185A"/>
    <w:rsid w:val="001C29C9"/>
    <w:rsid w:val="00254873"/>
    <w:rsid w:val="002847D3"/>
    <w:rsid w:val="002970BB"/>
    <w:rsid w:val="002C05EE"/>
    <w:rsid w:val="002D550B"/>
    <w:rsid w:val="00387121"/>
    <w:rsid w:val="003B3955"/>
    <w:rsid w:val="003B49C4"/>
    <w:rsid w:val="003B7597"/>
    <w:rsid w:val="003C4133"/>
    <w:rsid w:val="00473571"/>
    <w:rsid w:val="004C4174"/>
    <w:rsid w:val="00520625"/>
    <w:rsid w:val="005B6885"/>
    <w:rsid w:val="006138CB"/>
    <w:rsid w:val="006944C5"/>
    <w:rsid w:val="00706841"/>
    <w:rsid w:val="00717CD5"/>
    <w:rsid w:val="00737123"/>
    <w:rsid w:val="007A1B05"/>
    <w:rsid w:val="007A2B8A"/>
    <w:rsid w:val="007B0EF7"/>
    <w:rsid w:val="008015A4"/>
    <w:rsid w:val="0082333C"/>
    <w:rsid w:val="00880B4F"/>
    <w:rsid w:val="008A2103"/>
    <w:rsid w:val="00920B72"/>
    <w:rsid w:val="00934AC4"/>
    <w:rsid w:val="00982B5B"/>
    <w:rsid w:val="00987223"/>
    <w:rsid w:val="009961DF"/>
    <w:rsid w:val="009A336A"/>
    <w:rsid w:val="00A21F95"/>
    <w:rsid w:val="00A30500"/>
    <w:rsid w:val="00A510AF"/>
    <w:rsid w:val="00AB3C41"/>
    <w:rsid w:val="00AD24EC"/>
    <w:rsid w:val="00B54EC1"/>
    <w:rsid w:val="00B5563B"/>
    <w:rsid w:val="00C11CEB"/>
    <w:rsid w:val="00C40196"/>
    <w:rsid w:val="00C40B6A"/>
    <w:rsid w:val="00C470A5"/>
    <w:rsid w:val="00C50639"/>
    <w:rsid w:val="00C562D0"/>
    <w:rsid w:val="00CD41C4"/>
    <w:rsid w:val="00CD5B7A"/>
    <w:rsid w:val="00D15AAD"/>
    <w:rsid w:val="00D51DB6"/>
    <w:rsid w:val="00D96E14"/>
    <w:rsid w:val="00DA018E"/>
    <w:rsid w:val="00DB0A78"/>
    <w:rsid w:val="00DC4AB8"/>
    <w:rsid w:val="00DE58DF"/>
    <w:rsid w:val="00DE7680"/>
    <w:rsid w:val="00E02C1C"/>
    <w:rsid w:val="00E06917"/>
    <w:rsid w:val="00E25EEF"/>
    <w:rsid w:val="00E34E0F"/>
    <w:rsid w:val="00E90B51"/>
    <w:rsid w:val="00EE68A8"/>
    <w:rsid w:val="00F02EE4"/>
    <w:rsid w:val="00F2646F"/>
    <w:rsid w:val="00F47D89"/>
    <w:rsid w:val="00F55A08"/>
    <w:rsid w:val="00FC1918"/>
    <w:rsid w:val="00FC4E93"/>
    <w:rsid w:val="00FF0458"/>
    <w:rsid w:val="00FF3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A552"/>
  <w15:chartTrackingRefBased/>
  <w15:docId w15:val="{816B771E-62A5-3047-8004-EDC0607B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55A08"/>
    <w:rPr>
      <w:sz w:val="20"/>
      <w:szCs w:val="20"/>
    </w:rPr>
  </w:style>
  <w:style w:type="character" w:customStyle="1" w:styleId="NotedebasdepageCar">
    <w:name w:val="Note de bas de page Car"/>
    <w:basedOn w:val="Policepardfaut"/>
    <w:link w:val="Notedebasdepage"/>
    <w:uiPriority w:val="99"/>
    <w:semiHidden/>
    <w:rsid w:val="00F55A08"/>
    <w:rPr>
      <w:sz w:val="20"/>
      <w:szCs w:val="20"/>
    </w:rPr>
  </w:style>
  <w:style w:type="character" w:styleId="Appelnotedebasdep">
    <w:name w:val="footnote reference"/>
    <w:basedOn w:val="Policepardfaut"/>
    <w:uiPriority w:val="99"/>
    <w:semiHidden/>
    <w:unhideWhenUsed/>
    <w:rsid w:val="00F55A08"/>
    <w:rPr>
      <w:vertAlign w:val="superscript"/>
    </w:rPr>
  </w:style>
  <w:style w:type="character" w:styleId="Marquedecommentaire">
    <w:name w:val="annotation reference"/>
    <w:basedOn w:val="Policepardfaut"/>
    <w:uiPriority w:val="99"/>
    <w:semiHidden/>
    <w:unhideWhenUsed/>
    <w:rsid w:val="006944C5"/>
    <w:rPr>
      <w:sz w:val="16"/>
      <w:szCs w:val="16"/>
    </w:rPr>
  </w:style>
  <w:style w:type="paragraph" w:styleId="Commentaire">
    <w:name w:val="annotation text"/>
    <w:basedOn w:val="Normal"/>
    <w:link w:val="CommentaireCar"/>
    <w:uiPriority w:val="99"/>
    <w:semiHidden/>
    <w:unhideWhenUsed/>
    <w:rsid w:val="006944C5"/>
    <w:rPr>
      <w:sz w:val="20"/>
      <w:szCs w:val="20"/>
    </w:rPr>
  </w:style>
  <w:style w:type="character" w:customStyle="1" w:styleId="CommentaireCar">
    <w:name w:val="Commentaire Car"/>
    <w:basedOn w:val="Policepardfaut"/>
    <w:link w:val="Commentaire"/>
    <w:uiPriority w:val="99"/>
    <w:semiHidden/>
    <w:rsid w:val="006944C5"/>
    <w:rPr>
      <w:sz w:val="20"/>
      <w:szCs w:val="20"/>
    </w:rPr>
  </w:style>
  <w:style w:type="paragraph" w:styleId="Objetducommentaire">
    <w:name w:val="annotation subject"/>
    <w:basedOn w:val="Commentaire"/>
    <w:next w:val="Commentaire"/>
    <w:link w:val="ObjetducommentaireCar"/>
    <w:uiPriority w:val="99"/>
    <w:semiHidden/>
    <w:unhideWhenUsed/>
    <w:rsid w:val="006944C5"/>
    <w:rPr>
      <w:b/>
      <w:bCs/>
    </w:rPr>
  </w:style>
  <w:style w:type="character" w:customStyle="1" w:styleId="ObjetducommentaireCar">
    <w:name w:val="Objet du commentaire Car"/>
    <w:basedOn w:val="CommentaireCar"/>
    <w:link w:val="Objetducommentaire"/>
    <w:uiPriority w:val="99"/>
    <w:semiHidden/>
    <w:rsid w:val="006944C5"/>
    <w:rPr>
      <w:b/>
      <w:bCs/>
      <w:sz w:val="20"/>
      <w:szCs w:val="20"/>
    </w:rPr>
  </w:style>
  <w:style w:type="paragraph" w:styleId="Textedebulles">
    <w:name w:val="Balloon Text"/>
    <w:basedOn w:val="Normal"/>
    <w:link w:val="TextedebullesCar"/>
    <w:uiPriority w:val="99"/>
    <w:semiHidden/>
    <w:unhideWhenUsed/>
    <w:rsid w:val="006944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1189</Words>
  <Characters>6542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Activation BugBrothers</dc:creator>
  <cp:keywords/>
  <dc:description/>
  <cp:lastModifiedBy>Isa</cp:lastModifiedBy>
  <cp:revision>3</cp:revision>
  <cp:lastPrinted>2019-11-22T15:49:00Z</cp:lastPrinted>
  <dcterms:created xsi:type="dcterms:W3CDTF">2019-11-22T15:50:00Z</dcterms:created>
  <dcterms:modified xsi:type="dcterms:W3CDTF">2019-11-22T15:50:00Z</dcterms:modified>
</cp:coreProperties>
</file>