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spacing w:before="100" w:after="12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PROPOSITION D’ORDRE DU JOUR</w:t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spacing w:before="100" w:after="120"/>
        <w:jc w:val="center"/>
        <w:outlineLvl w:val="0"/>
        <w:rPr/>
      </w:pPr>
      <w:r>
        <w:rPr>
          <w:rFonts w:ascii="Times new roman" w:hAnsi="Times new roman"/>
          <w:b/>
          <w:sz w:val="28"/>
          <w:szCs w:val="28"/>
        </w:rPr>
        <w:t>Pour le CA du 20 Septembre 2019 de 10-13h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Réunion au CAC, 108, rue St-Maur 75011 Paris. L’accueil café sera assuré à partir de 9h30.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Ce Conseil d’Administration sera suivi d’un repas pris en commun (« buffet de la gare » avec présentation des dernières avancés de l’outil de travail commun appelé « gare centrale ») et d’un temps « d’autoformation » de 14 à 17h (voir page 2)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INTRODUCTION : D’UN CONSEIL D’ADMINISTRATION À L’AUTRE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b w:val="false"/>
          <w:b w:val="false"/>
          <w:bCs w:val="false"/>
          <w:sz w:val="21"/>
          <w:szCs w:val="21"/>
        </w:rPr>
      </w:pPr>
      <w:r>
        <w:rPr>
          <w:rFonts w:ascii="Times new roman" w:hAnsi="Times new roman"/>
          <w:b w:val="false"/>
          <w:bCs w:val="false"/>
          <w:sz w:val="21"/>
          <w:szCs w:val="21"/>
        </w:rPr>
        <w:t>- Eventuels amendements et validation du compte-rendu du dernier Conseil d’Administration. 5’</w:t>
      </w:r>
    </w:p>
    <w:p>
      <w:pPr>
        <w:pStyle w:val="Normal"/>
        <w:rPr>
          <w:b w:val="false"/>
          <w:b w:val="false"/>
          <w:bCs w:val="false"/>
          <w:sz w:val="21"/>
          <w:szCs w:val="21"/>
        </w:rPr>
      </w:pPr>
      <w:r>
        <w:rPr>
          <w:rFonts w:ascii="Times new roman" w:hAnsi="Times new roman"/>
          <w:b w:val="false"/>
          <w:bCs w:val="false"/>
          <w:sz w:val="21"/>
          <w:szCs w:val="21"/>
        </w:rPr>
        <w:t>- Retours rapides sur la mise en œuvre des décisions prises. 5’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1ÈRE PARTIE : LA RENTRÉE DU CAC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rFonts w:ascii="Times new roman" w:hAnsi="Times new roman"/>
          <w:b w:val="false"/>
          <w:bCs w:val="false"/>
          <w:sz w:val="21"/>
          <w:szCs w:val="21"/>
        </w:rPr>
        <w:t>- Axe « financements et emplois associatifs » : présentation des prochaines étapes 5’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rFonts w:ascii="Times new roman" w:hAnsi="Times new roman"/>
          <w:b w:val="false"/>
          <w:bCs w:val="false"/>
          <w:sz w:val="21"/>
          <w:szCs w:val="21"/>
        </w:rPr>
        <w:t>- Axe « transitions écologiques et solidaires » : présentation des prochaines étapes 5’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rFonts w:ascii="Times new roman" w:hAnsi="Times new roman"/>
          <w:b w:val="false"/>
          <w:bCs w:val="false"/>
          <w:sz w:val="21"/>
          <w:szCs w:val="21"/>
        </w:rPr>
        <w:t>- Axe « droits et libertés des associations » : présentation des prochaines étapes 5’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rFonts w:ascii="Times new roman" w:hAnsi="Times new roman"/>
          <w:b w:val="false"/>
          <w:bCs w:val="false"/>
          <w:sz w:val="21"/>
          <w:szCs w:val="21"/>
        </w:rPr>
        <w:t>- Axe « lutte contre la marchandisation de l’action associative» : présentation des prochaines étapes 5’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rFonts w:ascii="Times new roman" w:hAnsi="Times new roman"/>
          <w:b w:val="false"/>
          <w:bCs w:val="false"/>
          <w:sz w:val="21"/>
          <w:szCs w:val="21"/>
        </w:rPr>
        <w:t>- Axe « associations et collectivités publiques » : présentation des prochaines étapes 5’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rFonts w:ascii="Times new roman" w:hAnsi="Times new roman"/>
          <w:b w:val="false"/>
          <w:bCs w:val="false"/>
          <w:sz w:val="21"/>
          <w:szCs w:val="21"/>
        </w:rPr>
        <w:t>- Réflexions communes sur les prochaines étapes et validation collective (20 à 30’)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rFonts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2ÈME PARTIE : ORGANISATION ET MOYENS (HUMAINS, FINANCIERS)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Exécution du budget 2019 et projection pluriannuelle 10’</w:t>
      </w:r>
    </w:p>
    <w:p>
      <w:pPr>
        <w:pStyle w:val="Normal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Point fiches de poste. 10’</w:t>
      </w:r>
    </w:p>
    <w:p>
      <w:pPr>
        <w:pStyle w:val="Normal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Evolution du CAC : présidence, représentation et organisation interne 20’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3ÈME PARTIE : PARTICPATION AUX CHANTIERS EN COURS 50’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- 12 octobre : point d’étape et suite de l’appel à initiative</w:t>
      </w:r>
    </w:p>
    <w:p>
      <w:pPr>
        <w:pStyle w:val="Normal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La prise de position du CAC sur le SNU : demander au CA de valider la prise de position pour s’opposer au snu et prendre les dispositions pour participer à la mobilisation contre.</w:t>
      </w:r>
    </w:p>
    <w:p>
      <w:pPr>
        <w:pStyle w:val="Normal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Projet de livre 2020 : 10 ans de communiqués, quelle organisation collective pour le réaliser.</w:t>
      </w:r>
    </w:p>
    <w:p>
      <w:pPr>
        <w:pStyle w:val="Normal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Rencontres prioritaires avec les réseaux partenaires : calendrier interactif</w:t>
      </w:r>
    </w:p>
    <w:p>
      <w:pPr>
        <w:pStyle w:val="Normal"/>
        <w:rPr/>
      </w:pPr>
      <w:r>
        <w:rPr>
          <w:rFonts w:ascii="Times new roman" w:hAnsi="Times new roman"/>
          <w:sz w:val="21"/>
          <w:szCs w:val="21"/>
        </w:rPr>
        <w:t xml:space="preserve">- Point sur l’observatoire </w:t>
      </w:r>
      <w:r>
        <w:rPr>
          <w:rFonts w:ascii="Times new roman" w:hAnsi="Times new roman"/>
          <w:sz w:val="21"/>
          <w:szCs w:val="21"/>
        </w:rPr>
        <w:t>des libertés associatives</w:t>
      </w:r>
    </w:p>
    <w:p>
      <w:pPr>
        <w:pStyle w:val="Normal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Rejoindre le colelctif pour une transition citoyenne</w:t>
      </w:r>
    </w:p>
    <w:p>
      <w:pPr>
        <w:pStyle w:val="Normal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Demande de participation financière au livre du collectif «  pour une éthique en travail social »</w:t>
      </w:r>
    </w:p>
    <w:p>
      <w:pPr>
        <w:pStyle w:val="Normal"/>
        <w:rPr/>
      </w:pPr>
      <w:r>
        <w:rPr>
          <w:rFonts w:ascii="Times new roman" w:hAnsi="Times new roman"/>
          <w:sz w:val="21"/>
          <w:szCs w:val="21"/>
        </w:rPr>
        <w:t>- Identification des points non traités (et des endroits où les traiter)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42" w:top="943" w:footer="24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Berlin Sans FB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before="0" w:after="0"/>
      <w:jc w:val="center"/>
      <w:rPr/>
    </w:pPr>
    <w:r>
      <w:rPr>
        <w:rFonts w:eastAsia="Calibri" w:cs="Aharoni" w:ascii="Berlin Sans FB" w:hAnsi="Berlin Sans FB"/>
        <w:b/>
        <w:sz w:val="20"/>
        <w:szCs w:val="20"/>
        <w:lang w:eastAsia="en-US"/>
      </w:rPr>
      <w:t>Collectif des Associations Citoyennes</w:t>
    </w:r>
    <w:r>
      <w:rPr>
        <w:rFonts w:eastAsia="Calibri" w:ascii="Berlin Sans FB" w:hAnsi="Berlin Sans FB"/>
        <w:sz w:val="18"/>
        <w:szCs w:val="18"/>
        <w:lang w:eastAsia="en-US"/>
      </w:rPr>
      <w:t xml:space="preserve">   </w:t>
    </w:r>
  </w:p>
  <w:p>
    <w:pPr>
      <w:pStyle w:val="Normal"/>
      <w:suppressAutoHyphens w:val="false"/>
      <w:spacing w:before="0" w:after="0"/>
      <w:jc w:val="center"/>
      <w:rPr/>
    </w:pPr>
    <w:r>
      <w:rPr>
        <w:rFonts w:eastAsia="Calibri" w:ascii="Berlin Sans FB" w:hAnsi="Berlin Sans FB"/>
        <w:sz w:val="18"/>
        <w:szCs w:val="18"/>
        <w:lang w:eastAsia="en-US"/>
      </w:rPr>
      <w:t xml:space="preserve">108, rue Saint-Maur, 75011 Paris – Tél : 01 48 07 86 16 - </w:t>
    </w:r>
    <w:r>
      <w:rPr>
        <w:rFonts w:eastAsia="Calibri" w:ascii="Berlin Sans FB" w:hAnsi="Berlin Sans FB"/>
        <w:i/>
        <w:sz w:val="18"/>
        <w:szCs w:val="18"/>
        <w:lang w:eastAsia="en-US"/>
      </w:rPr>
      <w:t>Tél port. : 07 70 98 78 56</w:t>
    </w:r>
  </w:p>
  <w:p>
    <w:pPr>
      <w:pStyle w:val="Normal"/>
      <w:suppressAutoHyphens w:val="false"/>
      <w:spacing w:before="0" w:after="0"/>
      <w:jc w:val="center"/>
      <w:rPr/>
    </w:pPr>
    <w:hyperlink r:id="rId1">
      <w:r>
        <w:rPr>
          <w:rStyle w:val="LienInternet"/>
          <w:rFonts w:eastAsia="Calibri" w:ascii="Berlin Sans FB" w:hAnsi="Berlin Sans FB"/>
          <w:color w:val="0000FF"/>
          <w:sz w:val="18"/>
          <w:szCs w:val="18"/>
          <w:u w:val="single"/>
          <w:lang w:eastAsia="en-US"/>
        </w:rPr>
        <w:t>contact@associations-citoyennes.net</w:t>
      </w:r>
    </w:hyperlink>
    <w:r>
      <w:rPr>
        <w:rFonts w:eastAsia="Calibri" w:ascii="Berlin Sans FB" w:hAnsi="Berlin Sans FB"/>
        <w:sz w:val="18"/>
        <w:szCs w:val="18"/>
        <w:lang w:eastAsia="en-US"/>
      </w:rPr>
      <w:t xml:space="preserve">  -  Site : </w:t>
    </w:r>
    <w:hyperlink r:id="rId2">
      <w:r>
        <w:rPr>
          <w:rStyle w:val="LienInternet"/>
          <w:rFonts w:eastAsia="Calibri" w:ascii="Berlin Sans FB" w:hAnsi="Berlin Sans FB"/>
          <w:color w:val="0000FF"/>
          <w:sz w:val="18"/>
          <w:szCs w:val="18"/>
          <w:u w:val="single"/>
          <w:lang w:eastAsia="en-US"/>
        </w:rPr>
        <w:t>www.associations-citoyennes.net</w:t>
      </w:r>
    </w:hyperlink>
    <w:r>
      <w:rPr>
        <w:rFonts w:eastAsia="Calibri" w:ascii="Berlin Sans FB" w:hAnsi="Berlin Sans FB"/>
        <w:sz w:val="18"/>
        <w:szCs w:val="18"/>
        <w:lang w:eastAsia="en-US"/>
      </w:rPr>
      <w:t xml:space="preserve"> </w:t>
    </w:r>
  </w:p>
  <w:p>
    <w:pPr>
      <w:pStyle w:val="Normal"/>
      <w:suppressAutoHyphens w:val="false"/>
      <w:spacing w:before="0" w:after="0"/>
      <w:jc w:val="center"/>
      <w:rPr>
        <w:rFonts w:ascii="Berlin Sans FB" w:hAnsi="Berlin Sans FB" w:eastAsia="Calibri"/>
        <w:sz w:val="18"/>
        <w:szCs w:val="18"/>
        <w:lang w:eastAsia="en-US"/>
      </w:rPr>
    </w:pPr>
    <w:r>
      <w:rPr>
        <w:rFonts w:eastAsia="Calibri" w:ascii="Berlin Sans FB" w:hAnsi="Berlin Sans FB"/>
        <w:sz w:val="18"/>
        <w:szCs w:val="18"/>
        <w:lang w:eastAsia="en-US"/>
      </w:rPr>
      <w:t xml:space="preserve">  </w:t>
    </w:r>
    <w:r>
      <w:rPr>
        <w:rFonts w:eastAsia="Calibri" w:ascii="Berlin Sans FB" w:hAnsi="Berlin Sans FB"/>
        <w:sz w:val="18"/>
        <w:szCs w:val="18"/>
        <w:lang w:eastAsia="en-US"/>
      </w:rPr>
      <w:t>N° SIRET 425 110 103 00024  -  Organisme de formation professionnelle déclaré N° 11 78 06 80 178</w:t>
    </w:r>
  </w:p>
  <w:p>
    <w:pPr>
      <w:pStyle w:val="Normal"/>
      <w:suppressAutoHyphens w:val="false"/>
      <w:spacing w:before="0" w:after="0"/>
      <w:jc w:val="center"/>
      <w:rPr>
        <w:rFonts w:ascii="Berlin Sans FB" w:hAnsi="Berlin Sans FB" w:eastAsia="Calibri"/>
        <w:sz w:val="18"/>
        <w:szCs w:val="18"/>
        <w:lang w:eastAsia="en-US"/>
      </w:rPr>
    </w:pPr>
    <w:r>
      <w:rPr>
        <w:rFonts w:eastAsia="Calibri" w:ascii="Berlin Sans FB" w:hAnsi="Berlin Sans FB"/>
        <w:sz w:val="18"/>
        <w:szCs w:val="18"/>
        <w:lang w:eastAsia="en-US"/>
      </w:rPr>
      <w:t>Agrément Jeunesse et éducation populaire le 6 juillet 2015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pacing w:before="100" w:after="0"/>
      <w:jc w:val="center"/>
      <w:rPr/>
    </w:pPr>
    <w:r>
      <w:rPr/>
      <w:drawing>
        <wp:inline distT="0" distB="0" distL="0" distR="0">
          <wp:extent cx="1205865" cy="1000125"/>
          <wp:effectExtent l="0" t="0" r="0" b="0"/>
          <wp:docPr id="1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fr-FR" w:eastAsia="fr-FR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10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fr-FR" w:eastAsia="ar-SA" w:bidi="ar-SA"/>
    </w:rPr>
  </w:style>
  <w:style w:type="paragraph" w:styleId="Titre3">
    <w:name w:val="Heading 3"/>
    <w:basedOn w:val="Normal"/>
    <w:next w:val="Normal"/>
    <w:qFormat/>
    <w:pPr>
      <w:keepNext w:val="true"/>
      <w:spacing w:before="100" w:after="0"/>
      <w:contextualSpacing/>
      <w:outlineLvl w:val="2"/>
    </w:pPr>
    <w:rPr>
      <w:rFonts w:cs="Arial"/>
      <w:bCs/>
      <w:sz w:val="28"/>
      <w:szCs w:val="26"/>
    </w:rPr>
  </w:style>
  <w:style w:type="character" w:styleId="DefaultParagraphFont">
    <w:name w:val="Default Paragraph Font"/>
    <w:qFormat/>
    <w:rPr/>
  </w:style>
  <w:style w:type="character" w:styleId="Titre3Car">
    <w:name w:val="Titre 3 Car"/>
    <w:basedOn w:val="DefaultParagraphFont"/>
    <w:qFormat/>
    <w:rPr>
      <w:rFonts w:ascii="Times New Roman" w:hAnsi="Times New Roman" w:cs="Arial"/>
      <w:bCs/>
      <w:sz w:val="26"/>
      <w:szCs w:val="26"/>
      <w:lang w:eastAsia="ar-SA" w:bidi="ar-SA"/>
    </w:rPr>
  </w:style>
  <w:style w:type="character" w:styleId="EntteCar">
    <w:name w:val="En-tête Car"/>
    <w:basedOn w:val="DefaultParagraphFont"/>
    <w:qFormat/>
    <w:rPr>
      <w:rFonts w:ascii="Times New Roman" w:hAnsi="Times New Roman" w:cs="Times New Roman"/>
      <w:lang w:eastAsia="ar-SA" w:bidi="ar-SA"/>
    </w:rPr>
  </w:style>
  <w:style w:type="character" w:styleId="PieddepageCar">
    <w:name w:val="Pied de page Car"/>
    <w:basedOn w:val="DefaultParagraphFont"/>
    <w:qFormat/>
    <w:rPr>
      <w:rFonts w:ascii="Times New Roman" w:hAnsi="Times New Roman" w:cs="Times New Roman"/>
      <w:lang w:eastAsia="ar-SA" w:bidi="ar-SA"/>
    </w:rPr>
  </w:style>
  <w:style w:type="character" w:styleId="TextedebullesCar">
    <w:name w:val="Texte de bulles Car"/>
    <w:basedOn w:val="DefaultParagraphFont"/>
    <w:qFormat/>
    <w:rPr>
      <w:rFonts w:ascii="Tahoma" w:hAnsi="Tahoma" w:cs="Tahoma"/>
      <w:sz w:val="16"/>
      <w:szCs w:val="16"/>
      <w:lang w:eastAsia="ar-SA" w:bidi="ar-SA"/>
    </w:rPr>
  </w:style>
  <w:style w:type="character" w:styleId="ExplorateurdedocumentsCar">
    <w:name w:val="Explorateur de documents Car"/>
    <w:basedOn w:val="DefaultParagraphFont"/>
    <w:qFormat/>
    <w:rPr>
      <w:rFonts w:ascii="Times New Roman" w:hAnsi="Times New Roman" w:cs="Times New Roman"/>
      <w:sz w:val="2"/>
      <w:lang w:eastAsia="ar-SA" w:bidi="ar-S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cs="Times New Roman"/>
      <w:b/>
      <w:sz w:val="28"/>
      <w:szCs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Calibri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Verdana" w:hAnsi="Verdana" w:eastAsia="Calibri" w:cs="Times New Roman"/>
      <w:sz w:val="18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37">
    <w:name w:val="ListLabel 37"/>
    <w:qFormat/>
    <w:rPr>
      <w:rFonts w:ascii="Times new roman" w:hAnsi="Times new roman" w:cs="OpenSymbol"/>
      <w:sz w:val="22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b w:val="false"/>
      <w:sz w:val="22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Berlin Sans FB" w:hAnsi="Berlin Sans FB" w:eastAsia="Calibri"/>
      <w:color w:val="0000FF"/>
      <w:sz w:val="18"/>
      <w:szCs w:val="18"/>
      <w:u w:val="single"/>
      <w:lang w:eastAsia="en-US"/>
    </w:rPr>
  </w:style>
  <w:style w:type="character" w:styleId="ListLabel56">
    <w:name w:val="ListLabel 56"/>
    <w:qFormat/>
    <w:rPr>
      <w:rFonts w:ascii="Times new roman" w:hAnsi="Times new roman" w:cs="OpenSymbol"/>
      <w:b w:val="false"/>
      <w:sz w:val="22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Berlin Sans FB" w:hAnsi="Berlin Sans FB" w:eastAsia="Calibri"/>
      <w:color w:val="0000FF"/>
      <w:sz w:val="18"/>
      <w:szCs w:val="18"/>
      <w:u w:val="single"/>
      <w:lang w:eastAsia="en-US"/>
    </w:rPr>
  </w:style>
  <w:style w:type="character" w:styleId="ListLabel66">
    <w:name w:val="ListLabel 66"/>
    <w:qFormat/>
    <w:rPr>
      <w:rFonts w:ascii="Berlin Sans FB" w:hAnsi="Berlin Sans FB" w:eastAsia="Calibri"/>
      <w:color w:val="0000FF"/>
      <w:sz w:val="18"/>
      <w:szCs w:val="18"/>
      <w:u w:val="single"/>
      <w:lang w:eastAsia="en-US"/>
    </w:rPr>
  </w:style>
  <w:style w:type="character" w:styleId="ListLabel67">
    <w:name w:val="ListLabel 67"/>
    <w:qFormat/>
    <w:rPr>
      <w:rFonts w:ascii="Berlin Sans FB" w:hAnsi="Berlin Sans FB" w:eastAsia="Calibri"/>
      <w:color w:val="0000FF"/>
      <w:sz w:val="18"/>
      <w:szCs w:val="18"/>
      <w:u w:val="single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10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associations-citoyennes.net" TargetMode="External"/><Relationship Id="rId2" Type="http://schemas.openxmlformats.org/officeDocument/2006/relationships/hyperlink" Target="http://www.associations-citoyennes.ne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Application>LibreOffice/6.0.7.3$Linux_X86_64 LibreOffice_project/00m0$Build-3</Application>
  <Pages>1</Pages>
  <Words>413</Words>
  <Characters>2105</Characters>
  <CharactersWithSpaces>2498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2016-10-24T14:13:00Z</dcterms:created>
  <dc:creator>Isabelle</dc:creator>
  <dc:description/>
  <dc:language>fr-FR</dc:language>
  <cp:lastModifiedBy/>
  <cp:lastPrinted>2019-05-07T18:14:12Z</cp:lastPrinted>
  <dcterms:modified xsi:type="dcterms:W3CDTF">2019-09-09T15:49:02Z</dcterms:modified>
  <cp:revision>30</cp:revision>
  <dc:subject/>
  <dc:title>Procès verbal de l’Assemblée Générale Extraordinaire 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